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F0413" w:rsidRPr="005F0413" w:rsidRDefault="005F0413" w:rsidP="005F0413">
      <w:pPr>
        <w:spacing w:before="280" w:after="280" w:line="240" w:lineRule="auto"/>
        <w:jc w:val="center"/>
        <w:rPr>
          <w:rFonts w:ascii="Arial" w:eastAsia="Arial" w:hAnsi="Arial" w:cs="Arial" w:hint="cs"/>
          <w:b/>
          <w:bCs/>
          <w:sz w:val="24"/>
          <w:szCs w:val="24"/>
          <w:u w:val="single"/>
          <w:rtl/>
        </w:rPr>
      </w:pPr>
      <w:r w:rsidRPr="005F0413">
        <w:rPr>
          <w:rFonts w:ascii="Arial" w:eastAsia="Arial" w:hAnsi="Arial" w:cs="Arial" w:hint="cs"/>
          <w:b/>
          <w:bCs/>
          <w:sz w:val="24"/>
          <w:szCs w:val="24"/>
          <w:u w:val="single"/>
          <w:rtl/>
        </w:rPr>
        <w:t>בחינות בגרות מתוקשבות</w:t>
      </w:r>
      <w:r>
        <w:rPr>
          <w:rFonts w:ascii="Arial" w:eastAsia="Arial" w:hAnsi="Arial" w:cs="Arial" w:hint="cs"/>
          <w:b/>
          <w:bCs/>
          <w:sz w:val="24"/>
          <w:szCs w:val="24"/>
          <w:u w:val="single"/>
          <w:rtl/>
        </w:rPr>
        <w:t xml:space="preserve"> עתירות מדיה</w:t>
      </w:r>
      <w:r w:rsidRPr="005F0413">
        <w:rPr>
          <w:rFonts w:ascii="Arial" w:eastAsia="Arial" w:hAnsi="Arial" w:cs="Arial" w:hint="cs"/>
          <w:b/>
          <w:bCs/>
          <w:sz w:val="24"/>
          <w:szCs w:val="24"/>
          <w:u w:val="single"/>
          <w:rtl/>
        </w:rPr>
        <w:t xml:space="preserve"> תשע"ח - דרישות הסף הפדגוגית</w:t>
      </w:r>
    </w:p>
    <w:p w:rsidR="00D20F70" w:rsidRDefault="00363766" w:rsidP="005F0413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sz w:val="24"/>
          <w:szCs w:val="24"/>
          <w:rtl/>
        </w:rPr>
        <w:br/>
        <w:t xml:space="preserve">להלן </w:t>
      </w:r>
      <w:r w:rsidR="005F0413">
        <w:rPr>
          <w:rFonts w:ascii="Arial" w:eastAsia="Arial" w:hAnsi="Arial" w:cs="Arial" w:hint="cs"/>
          <w:sz w:val="24"/>
          <w:szCs w:val="24"/>
          <w:rtl/>
        </w:rPr>
        <w:t>המהלכים הנדרשים מכל השותפים למהלך</w:t>
      </w:r>
      <w:r>
        <w:rPr>
          <w:rFonts w:ascii="Arial" w:eastAsia="Arial" w:hAnsi="Arial" w:cs="Arial"/>
          <w:sz w:val="24"/>
          <w:szCs w:val="24"/>
          <w:rtl/>
        </w:rPr>
        <w:t>:</w:t>
      </w:r>
    </w:p>
    <w:p w:rsidR="00D20F70" w:rsidRDefault="00363766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המורים</w:t>
      </w:r>
      <w:r>
        <w:rPr>
          <w:rFonts w:ascii="Arial" w:eastAsia="Arial" w:hAnsi="Arial" w:cs="Arial"/>
          <w:sz w:val="24"/>
          <w:szCs w:val="24"/>
          <w:rtl/>
        </w:rPr>
        <w:br/>
        <w:t xml:space="preserve">למורים יתקיים פיתוח </w:t>
      </w:r>
      <w:r>
        <w:rPr>
          <w:rFonts w:ascii="Arial" w:eastAsia="Arial" w:hAnsi="Arial" w:cs="Arial"/>
          <w:sz w:val="24"/>
          <w:szCs w:val="24"/>
          <w:rtl/>
        </w:rPr>
        <w:t xml:space="preserve">מקצועי מקוון שיקנה 30 שעות גמול. ההשתלמויות יחלו בסוף חודש נובמבר (מיד לאחר החגים תקבלו הודעה מסודרת). ההשתלמויות כוללות: </w:t>
      </w:r>
    </w:p>
    <w:p w:rsidR="00D20F70" w:rsidRDefault="00363766">
      <w:pPr>
        <w:numPr>
          <w:ilvl w:val="1"/>
          <w:numId w:val="1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</w:rPr>
        <w:t xml:space="preserve">4-3 מפגשים ברשת </w:t>
      </w:r>
    </w:p>
    <w:p w:rsidR="00D20F70" w:rsidRDefault="00363766">
      <w:pPr>
        <w:numPr>
          <w:ilvl w:val="1"/>
          <w:numId w:val="1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</w:rPr>
        <w:t>תרגולים בכיתה עם התלמידים</w:t>
      </w:r>
    </w:p>
    <w:p w:rsidR="00D20F70" w:rsidRDefault="00363766">
      <w:pPr>
        <w:numPr>
          <w:ilvl w:val="1"/>
          <w:numId w:val="1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</w:rPr>
        <w:t>הדמיה של בחינה מתוקשבת</w:t>
      </w:r>
      <w:r>
        <w:rPr>
          <w:rFonts w:ascii="Arial" w:eastAsia="Arial" w:hAnsi="Arial" w:cs="Arial"/>
          <w:sz w:val="24"/>
          <w:szCs w:val="24"/>
          <w:rtl/>
        </w:rPr>
        <w:br/>
      </w:r>
    </w:p>
    <w:p w:rsidR="00D20F70" w:rsidRDefault="00363766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אנשי התקשוב הבית </w:t>
      </w:r>
      <w:proofErr w:type="spellStart"/>
      <w:r>
        <w:rPr>
          <w:rFonts w:ascii="Arial" w:eastAsia="Arial" w:hAnsi="Arial" w:cs="Arial"/>
          <w:b/>
          <w:sz w:val="24"/>
          <w:szCs w:val="24"/>
          <w:rtl/>
        </w:rPr>
        <w:t>ספריים</w:t>
      </w:r>
      <w:proofErr w:type="spellEnd"/>
      <w:r>
        <w:rPr>
          <w:rFonts w:ascii="Arial" w:eastAsia="Arial" w:hAnsi="Arial" w:cs="Arial"/>
          <w:sz w:val="24"/>
          <w:szCs w:val="24"/>
          <w:rtl/>
        </w:rPr>
        <w:br/>
        <w:t>יתקיימו מפגשים מקוונים ברשת להכנת אנש</w:t>
      </w:r>
      <w:r>
        <w:rPr>
          <w:rFonts w:ascii="Arial" w:eastAsia="Arial" w:hAnsi="Arial" w:cs="Arial"/>
          <w:sz w:val="24"/>
          <w:szCs w:val="24"/>
          <w:rtl/>
        </w:rPr>
        <w:t xml:space="preserve">י התקשוב הבית </w:t>
      </w:r>
      <w:proofErr w:type="spellStart"/>
      <w:r>
        <w:rPr>
          <w:rFonts w:ascii="Arial" w:eastAsia="Arial" w:hAnsi="Arial" w:cs="Arial"/>
          <w:sz w:val="24"/>
          <w:szCs w:val="24"/>
          <w:rtl/>
        </w:rPr>
        <w:t>ספריים</w:t>
      </w:r>
      <w:proofErr w:type="spellEnd"/>
      <w:r>
        <w:rPr>
          <w:rFonts w:ascii="Arial" w:eastAsia="Arial" w:hAnsi="Arial" w:cs="Arial"/>
          <w:sz w:val="24"/>
          <w:szCs w:val="24"/>
          <w:rtl/>
        </w:rPr>
        <w:t>.</w:t>
      </w:r>
      <w:r>
        <w:rPr>
          <w:rFonts w:ascii="Arial" w:eastAsia="Arial" w:hAnsi="Arial" w:cs="Arial"/>
          <w:sz w:val="24"/>
          <w:szCs w:val="24"/>
          <w:rtl/>
        </w:rPr>
        <w:br/>
      </w:r>
    </w:p>
    <w:p w:rsidR="00D20F70" w:rsidRDefault="00363766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תלמידים</w:t>
      </w:r>
      <w:r>
        <w:rPr>
          <w:rFonts w:ascii="Arial" w:eastAsia="Arial" w:hAnsi="Arial" w:cs="Arial"/>
          <w:b/>
          <w:sz w:val="24"/>
          <w:szCs w:val="24"/>
          <w:rtl/>
        </w:rPr>
        <w:br/>
      </w:r>
      <w:r>
        <w:rPr>
          <w:rFonts w:ascii="Arial" w:eastAsia="Arial" w:hAnsi="Arial" w:cs="Arial"/>
          <w:sz w:val="24"/>
          <w:szCs w:val="24"/>
          <w:rtl/>
        </w:rPr>
        <w:t xml:space="preserve">תלמיד המיועד להיבחן בבחינת הבגרות המתוקשבת חייב להכיר היטב את סביבת </w:t>
      </w:r>
      <w:proofErr w:type="spellStart"/>
      <w:r>
        <w:rPr>
          <w:rFonts w:ascii="Arial" w:eastAsia="Arial" w:hAnsi="Arial" w:cs="Arial"/>
          <w:sz w:val="24"/>
          <w:szCs w:val="24"/>
        </w:rPr>
        <w:t>Itest</w:t>
      </w:r>
      <w:proofErr w:type="spellEnd"/>
      <w:r>
        <w:rPr>
          <w:rFonts w:ascii="Arial" w:eastAsia="Arial" w:hAnsi="Arial" w:cs="Arial"/>
          <w:sz w:val="24"/>
          <w:szCs w:val="24"/>
          <w:rtl/>
        </w:rPr>
        <w:t xml:space="preserve">, את הכלים העומדים לרשותו בסביבה זו ואת אופן ההשבה על שאלות הבחינה. ההכנות הנדרשות הן: </w:t>
      </w:r>
    </w:p>
    <w:p w:rsidR="00D20F70" w:rsidRDefault="00363766">
      <w:pPr>
        <w:numPr>
          <w:ilvl w:val="1"/>
          <w:numId w:val="3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</w:rPr>
        <w:t xml:space="preserve">תרגול </w:t>
      </w:r>
      <w:r>
        <w:rPr>
          <w:rFonts w:ascii="Arial" w:eastAsia="Arial" w:hAnsi="Arial" w:cs="Arial"/>
          <w:sz w:val="24"/>
          <w:szCs w:val="24"/>
          <w:u w:val="single"/>
          <w:rtl/>
        </w:rPr>
        <w:t>אחד לפחות</w:t>
      </w:r>
      <w:r>
        <w:rPr>
          <w:rFonts w:ascii="Arial" w:eastAsia="Arial" w:hAnsi="Arial" w:cs="Arial"/>
          <w:sz w:val="24"/>
          <w:szCs w:val="24"/>
          <w:rtl/>
        </w:rPr>
        <w:t xml:space="preserve"> של בחינה מתוך המבחר שיועמד לרשותכם</w:t>
      </w:r>
    </w:p>
    <w:p w:rsidR="00D20F70" w:rsidRDefault="00363766">
      <w:pPr>
        <w:numPr>
          <w:ilvl w:val="1"/>
          <w:numId w:val="3"/>
        </w:numPr>
        <w:spacing w:after="0" w:line="240" w:lineRule="auto"/>
        <w:ind w:hanging="360"/>
        <w:contextualSpacing/>
        <w:rPr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</w:rPr>
        <w:t>השתתפות</w:t>
      </w:r>
      <w:r>
        <w:rPr>
          <w:rFonts w:ascii="Arial" w:eastAsia="Arial" w:hAnsi="Arial" w:cs="Arial"/>
          <w:sz w:val="24"/>
          <w:szCs w:val="24"/>
          <w:rtl/>
        </w:rPr>
        <w:t xml:space="preserve"> מלאה באירוע הדמיה ארצי. בית ספר או תלמידים שלא ייקחו חלק בתהליכי ההדמיה המחייבים לא יוכלו להיבחן באופן מתוקשב.</w:t>
      </w:r>
      <w:r>
        <w:rPr>
          <w:rFonts w:ascii="Arial" w:eastAsia="Arial" w:hAnsi="Arial" w:cs="Arial"/>
          <w:b/>
          <w:sz w:val="24"/>
          <w:szCs w:val="24"/>
        </w:rPr>
        <w:br/>
      </w:r>
    </w:p>
    <w:p w:rsidR="00D20F70" w:rsidRDefault="00363766">
      <w:pPr>
        <w:numPr>
          <w:ilvl w:val="0"/>
          <w:numId w:val="2"/>
        </w:numPr>
        <w:spacing w:after="0" w:line="240" w:lineRule="auto"/>
        <w:ind w:hanging="360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מועדי ההדמיה</w:t>
      </w:r>
      <w:r>
        <w:rPr>
          <w:rFonts w:ascii="Arial" w:eastAsia="Arial" w:hAnsi="Arial" w:cs="Arial"/>
          <w:sz w:val="24"/>
          <w:szCs w:val="24"/>
          <w:rtl/>
        </w:rPr>
        <w:br/>
        <w:t>לכל בחינה יקבעו שלושה מועדים:</w:t>
      </w:r>
    </w:p>
    <w:p w:rsidR="00D20F70" w:rsidRDefault="00363766">
      <w:pPr>
        <w:numPr>
          <w:ilvl w:val="1"/>
          <w:numId w:val="2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מועד א'</w:t>
      </w:r>
      <w:r>
        <w:rPr>
          <w:rFonts w:ascii="Arial" w:eastAsia="Arial" w:hAnsi="Arial" w:cs="Arial"/>
          <w:sz w:val="24"/>
          <w:szCs w:val="24"/>
          <w:rtl/>
        </w:rPr>
        <w:t xml:space="preserve"> – מועד זה יחייב את כל בתי הספר המגישים לבחינת הבגרות המתוקשבת. כל תלמידי השכבה בבית-הספר </w:t>
      </w:r>
      <w:r>
        <w:rPr>
          <w:rFonts w:ascii="Arial" w:eastAsia="Arial" w:hAnsi="Arial" w:cs="Arial"/>
          <w:sz w:val="24"/>
          <w:szCs w:val="24"/>
          <w:rtl/>
        </w:rPr>
        <w:t>יחויבו להיבחן באותו מועד, משום שההדמיה נועדה, בין היתר, לבחון את ההתמודדות של כל המעורבים באירוע רב-משתתפים.</w:t>
      </w:r>
    </w:p>
    <w:p w:rsidR="00D20F70" w:rsidRDefault="00363766">
      <w:pPr>
        <w:numPr>
          <w:ilvl w:val="1"/>
          <w:numId w:val="2"/>
        </w:numPr>
        <w:spacing w:after="0" w:line="240" w:lineRule="auto"/>
        <w:ind w:hanging="360"/>
        <w:contextualSpacing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מועד ב'</w:t>
      </w:r>
      <w:r>
        <w:rPr>
          <w:rFonts w:ascii="Arial" w:eastAsia="Arial" w:hAnsi="Arial" w:cs="Arial"/>
          <w:sz w:val="24"/>
          <w:szCs w:val="24"/>
          <w:rtl/>
        </w:rPr>
        <w:t xml:space="preserve"> – מועד זה מיועד לבתי-ספר שאינם יכולים להיבחן במועד א בשל פעילות קודמת שקבעו (למשל, מסע לפולין, טיול שנתי...), וכן לתלמידים בודדים שנבצר מהם</w:t>
      </w:r>
      <w:r>
        <w:rPr>
          <w:rFonts w:ascii="Arial" w:eastAsia="Arial" w:hAnsi="Arial" w:cs="Arial"/>
          <w:sz w:val="24"/>
          <w:szCs w:val="24"/>
          <w:rtl/>
        </w:rPr>
        <w:t xml:space="preserve"> להיבחן במועד א', עם תלמידי השכבה שלהם.</w:t>
      </w:r>
    </w:p>
    <w:p w:rsidR="00D20F70" w:rsidRDefault="00363766">
      <w:pPr>
        <w:numPr>
          <w:ilvl w:val="1"/>
          <w:numId w:val="2"/>
        </w:numPr>
        <w:spacing w:after="280" w:line="240" w:lineRule="auto"/>
        <w:ind w:hanging="360"/>
        <w:contextualSpacing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>מועד ג'</w:t>
      </w:r>
      <w:r>
        <w:rPr>
          <w:rFonts w:ascii="Arial" w:eastAsia="Arial" w:hAnsi="Arial" w:cs="Arial"/>
          <w:sz w:val="24"/>
          <w:szCs w:val="24"/>
          <w:rtl/>
        </w:rPr>
        <w:t xml:space="preserve"> – מועד זה מיועד לטיפול נקודתי בבתי-ספר שזיהינו בהם תקלות מהותיות בעת ההיבחנות באחד משני המועדים הקודמים. מועד זה ייקבע על-פי הצורך.</w:t>
      </w:r>
    </w:p>
    <w:p w:rsidR="00D20F70" w:rsidRDefault="00D20F70" w:rsidP="005F0413">
      <w:pPr>
        <w:spacing w:after="0" w:line="240" w:lineRule="auto"/>
        <w:ind w:left="360" w:right="500"/>
        <w:jc w:val="both"/>
        <w:rPr>
          <w:rFonts w:ascii="Arial" w:eastAsia="Arial" w:hAnsi="Arial" w:cs="Arial" w:hint="cs"/>
          <w:b/>
          <w:sz w:val="24"/>
          <w:szCs w:val="24"/>
          <w:rtl/>
        </w:rPr>
      </w:pPr>
    </w:p>
    <w:p w:rsidR="005F0413" w:rsidRPr="005F0413" w:rsidRDefault="005F0413" w:rsidP="005F0413">
      <w:pPr>
        <w:spacing w:after="0" w:line="240" w:lineRule="auto"/>
        <w:ind w:left="360" w:right="5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 w:hint="cs"/>
          <w:b/>
          <w:sz w:val="24"/>
          <w:szCs w:val="24"/>
          <w:rtl/>
        </w:rPr>
        <w:t>מועדי ההדמיה יתקיימו לפני פסח ותאריכים מדוי</w:t>
      </w:r>
      <w:bookmarkStart w:id="0" w:name="_GoBack"/>
      <w:bookmarkEnd w:id="0"/>
      <w:r>
        <w:rPr>
          <w:rFonts w:ascii="Arial" w:eastAsia="Arial" w:hAnsi="Arial" w:cs="Arial" w:hint="cs"/>
          <w:b/>
          <w:sz w:val="24"/>
          <w:szCs w:val="24"/>
          <w:rtl/>
        </w:rPr>
        <w:t>קים יפורסמו בהמשך.</w:t>
      </w:r>
    </w:p>
    <w:sectPr w:rsidR="005F0413" w:rsidRPr="005F0413">
      <w:headerReference w:type="default" r:id="rId8"/>
      <w:pgSz w:w="11906" w:h="16838"/>
      <w:pgMar w:top="109" w:right="1418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766" w:rsidRDefault="00363766">
      <w:pPr>
        <w:spacing w:after="0" w:line="240" w:lineRule="auto"/>
      </w:pPr>
      <w:r>
        <w:separator/>
      </w:r>
    </w:p>
  </w:endnote>
  <w:endnote w:type="continuationSeparator" w:id="0">
    <w:p w:rsidR="00363766" w:rsidRDefault="0036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766" w:rsidRDefault="00363766">
      <w:pPr>
        <w:spacing w:after="0" w:line="240" w:lineRule="auto"/>
      </w:pPr>
      <w:r>
        <w:separator/>
      </w:r>
    </w:p>
  </w:footnote>
  <w:footnote w:type="continuationSeparator" w:id="0">
    <w:p w:rsidR="00363766" w:rsidRDefault="00363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F70" w:rsidRDefault="00D20F70">
    <w:pPr>
      <w:spacing w:before="709" w:after="0"/>
      <w:rPr>
        <w:rFonts w:ascii="Arial" w:eastAsia="Arial" w:hAnsi="Arial" w:cs="Arial"/>
        <w:sz w:val="20"/>
        <w:szCs w:val="20"/>
      </w:rPr>
    </w:pPr>
  </w:p>
  <w:tbl>
    <w:tblPr>
      <w:tblStyle w:val="af5"/>
      <w:bidiVisual/>
      <w:tblW w:w="10490" w:type="dxa"/>
      <w:tblInd w:w="-718" w:type="dxa"/>
      <w:tblBorders>
        <w:top w:val="nil"/>
        <w:left w:val="nil"/>
        <w:bottom w:val="single" w:sz="4" w:space="0" w:color="DBEEF3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402"/>
      <w:gridCol w:w="3969"/>
      <w:gridCol w:w="3119"/>
    </w:tblGrid>
    <w:tr w:rsidR="00D20F70">
      <w:tc>
        <w:tcPr>
          <w:tcW w:w="3402" w:type="dxa"/>
        </w:tcPr>
        <w:p w:rsidR="00D20F70" w:rsidRDefault="00D20F70">
          <w:pPr>
            <w:contextualSpacing w:val="0"/>
            <w:jc w:val="center"/>
          </w:pPr>
        </w:p>
      </w:tc>
      <w:tc>
        <w:tcPr>
          <w:tcW w:w="3969" w:type="dxa"/>
        </w:tcPr>
        <w:p w:rsidR="00D20F70" w:rsidRDefault="00363766">
          <w:pPr>
            <w:tabs>
              <w:tab w:val="center" w:pos="4153"/>
              <w:tab w:val="right" w:pos="8306"/>
            </w:tabs>
            <w:contextualSpacing w:val="0"/>
            <w:jc w:val="center"/>
            <w:rPr>
              <w:rFonts w:ascii="Arial" w:eastAsia="Arial" w:hAnsi="Arial" w:cs="Arial"/>
              <w:color w:val="0000FF"/>
              <w:sz w:val="24"/>
              <w:szCs w:val="24"/>
            </w:rPr>
          </w:pPr>
          <w:r>
            <w:rPr>
              <w:rFonts w:ascii="Arial" w:eastAsia="Arial" w:hAnsi="Arial" w:cs="Arial"/>
              <w:color w:val="0000FF"/>
              <w:sz w:val="24"/>
              <w:szCs w:val="24"/>
              <w:rtl/>
            </w:rPr>
            <w:t>מדינת ישראל</w:t>
          </w:r>
        </w:p>
        <w:p w:rsidR="00D20F70" w:rsidRDefault="00363766">
          <w:pPr>
            <w:tabs>
              <w:tab w:val="center" w:pos="4153"/>
              <w:tab w:val="right" w:pos="8306"/>
            </w:tabs>
            <w:contextualSpacing w:val="0"/>
            <w:jc w:val="center"/>
            <w:rPr>
              <w:rFonts w:ascii="Arial" w:eastAsia="Arial" w:hAnsi="Arial" w:cs="Arial"/>
              <w:color w:val="0000FF"/>
              <w:sz w:val="24"/>
              <w:szCs w:val="24"/>
            </w:rPr>
          </w:pPr>
          <w:r>
            <w:rPr>
              <w:rFonts w:ascii="Arial" w:eastAsia="Arial" w:hAnsi="Arial" w:cs="Arial"/>
              <w:color w:val="0000FF"/>
              <w:sz w:val="24"/>
              <w:szCs w:val="24"/>
              <w:rtl/>
            </w:rPr>
            <w:t>משרד החינוך</w:t>
          </w:r>
        </w:p>
        <w:p w:rsidR="00D20F70" w:rsidRDefault="00363766">
          <w:pPr>
            <w:tabs>
              <w:tab w:val="center" w:pos="4153"/>
              <w:tab w:val="right" w:pos="8306"/>
            </w:tabs>
            <w:contextualSpacing w:val="0"/>
            <w:jc w:val="center"/>
            <w:rPr>
              <w:rFonts w:ascii="Arial" w:eastAsia="Arial" w:hAnsi="Arial" w:cs="Arial"/>
              <w:color w:val="0000FF"/>
              <w:sz w:val="24"/>
              <w:szCs w:val="24"/>
            </w:rPr>
          </w:pPr>
          <w:r>
            <w:rPr>
              <w:rFonts w:ascii="Arial" w:eastAsia="Arial" w:hAnsi="Arial" w:cs="Arial"/>
              <w:color w:val="0000FF"/>
              <w:sz w:val="24"/>
              <w:szCs w:val="24"/>
              <w:rtl/>
            </w:rPr>
            <w:t>המזכירות הפדגוגית</w:t>
          </w:r>
        </w:p>
        <w:p w:rsidR="00D20F70" w:rsidRDefault="00363766">
          <w:pPr>
            <w:tabs>
              <w:tab w:val="center" w:pos="4153"/>
              <w:tab w:val="right" w:pos="8306"/>
            </w:tabs>
            <w:contextualSpacing w:val="0"/>
            <w:jc w:val="center"/>
            <w:rPr>
              <w:rFonts w:ascii="Arial" w:eastAsia="Arial" w:hAnsi="Arial" w:cs="Arial"/>
              <w:color w:val="0000FF"/>
              <w:sz w:val="24"/>
              <w:szCs w:val="24"/>
            </w:rPr>
          </w:pPr>
          <w:r>
            <w:rPr>
              <w:rFonts w:ascii="Arial" w:eastAsia="Arial" w:hAnsi="Arial" w:cs="Arial"/>
              <w:color w:val="0000FF"/>
              <w:sz w:val="24"/>
              <w:szCs w:val="24"/>
              <w:rtl/>
            </w:rPr>
            <w:t xml:space="preserve">אגף א' </w:t>
          </w:r>
          <w:r>
            <w:rPr>
              <w:rFonts w:ascii="Arial" w:eastAsia="Arial" w:hAnsi="Arial" w:cs="Arial"/>
              <w:color w:val="0000FF"/>
              <w:sz w:val="24"/>
              <w:szCs w:val="24"/>
              <w:rtl/>
            </w:rPr>
            <w:t>לפיתוח פדגוגי</w:t>
          </w:r>
        </w:p>
      </w:tc>
      <w:tc>
        <w:tcPr>
          <w:tcW w:w="3119" w:type="dxa"/>
        </w:tcPr>
        <w:p w:rsidR="00D20F70" w:rsidRDefault="00D20F70">
          <w:pPr>
            <w:contextualSpacing w:val="0"/>
            <w:jc w:val="right"/>
            <w:rPr>
              <w:sz w:val="26"/>
              <w:szCs w:val="26"/>
            </w:rPr>
          </w:pPr>
        </w:p>
        <w:p w:rsidR="00D20F70" w:rsidRDefault="00D20F70">
          <w:pPr>
            <w:contextualSpacing w:val="0"/>
            <w:jc w:val="right"/>
            <w:rPr>
              <w:sz w:val="26"/>
              <w:szCs w:val="26"/>
            </w:rPr>
          </w:pPr>
        </w:p>
        <w:p w:rsidR="00D20F70" w:rsidRDefault="005F0413" w:rsidP="005F0413">
          <w:pPr>
            <w:contextualSpacing w:val="0"/>
            <w:jc w:val="right"/>
            <w:rPr>
              <w:sz w:val="26"/>
              <w:szCs w:val="26"/>
            </w:rPr>
          </w:pPr>
          <w:r>
            <w:rPr>
              <w:rFonts w:hint="cs"/>
              <w:sz w:val="26"/>
              <w:szCs w:val="26"/>
              <w:rtl/>
            </w:rPr>
            <w:t>כ"ג</w:t>
          </w:r>
          <w:r w:rsidR="00363766">
            <w:rPr>
              <w:sz w:val="26"/>
              <w:szCs w:val="26"/>
              <w:rtl/>
            </w:rPr>
            <w:t xml:space="preserve"> באב תשע"</w:t>
          </w:r>
          <w:r>
            <w:rPr>
              <w:rFonts w:hint="cs"/>
              <w:sz w:val="26"/>
              <w:szCs w:val="26"/>
              <w:rtl/>
            </w:rPr>
            <w:t>ח</w:t>
          </w:r>
          <w:r w:rsidR="00363766">
            <w:rPr>
              <w:sz w:val="26"/>
              <w:szCs w:val="26"/>
              <w:rtl/>
            </w:rPr>
            <w:t xml:space="preserve"> ‏‏</w:t>
          </w:r>
          <w:r>
            <w:rPr>
              <w:rFonts w:hint="cs"/>
              <w:sz w:val="26"/>
              <w:szCs w:val="26"/>
              <w:rtl/>
            </w:rPr>
            <w:t>15</w:t>
          </w:r>
          <w:r w:rsidR="00363766">
            <w:rPr>
              <w:sz w:val="26"/>
              <w:szCs w:val="26"/>
              <w:rtl/>
            </w:rPr>
            <w:t>/</w:t>
          </w:r>
          <w:r>
            <w:rPr>
              <w:rFonts w:hint="cs"/>
              <w:sz w:val="26"/>
              <w:szCs w:val="26"/>
              <w:rtl/>
            </w:rPr>
            <w:t>08</w:t>
          </w:r>
          <w:r w:rsidR="00363766">
            <w:rPr>
              <w:sz w:val="26"/>
              <w:szCs w:val="26"/>
              <w:rtl/>
            </w:rPr>
            <w:t>/</w:t>
          </w:r>
          <w:r>
            <w:rPr>
              <w:rFonts w:hint="cs"/>
              <w:sz w:val="26"/>
              <w:szCs w:val="26"/>
              <w:rtl/>
            </w:rPr>
            <w:t xml:space="preserve">2017 </w:t>
          </w:r>
        </w:p>
      </w:tc>
    </w:tr>
  </w:tbl>
  <w:p w:rsidR="00D20F70" w:rsidRDefault="00D20F70">
    <w:pPr>
      <w:tabs>
        <w:tab w:val="center" w:pos="4153"/>
        <w:tab w:val="right" w:pos="8306"/>
      </w:tabs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1B6E"/>
    <w:multiLevelType w:val="multilevel"/>
    <w:tmpl w:val="27B6F16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bullet"/>
      <w:lvlText w:val="-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">
    <w:nsid w:val="428B1714"/>
    <w:multiLevelType w:val="multilevel"/>
    <w:tmpl w:val="38AA4D5E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bullet"/>
      <w:lvlText w:val="-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>
    <w:nsid w:val="4C1D4937"/>
    <w:multiLevelType w:val="multilevel"/>
    <w:tmpl w:val="2E0CC70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bullet"/>
      <w:lvlText w:val="-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20F70"/>
    <w:rsid w:val="00363766"/>
    <w:rsid w:val="005F0413"/>
    <w:rsid w:val="00D2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he-IL"/>
      </w:rPr>
    </w:rPrDefault>
    <w:pPrDefault>
      <w:pPr>
        <w:widowControl w:val="0"/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25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BA25AD"/>
    <w:pPr>
      <w:keepNext/>
      <w:spacing w:after="0" w:line="480" w:lineRule="auto"/>
      <w:outlineLvl w:val="2"/>
    </w:pPr>
    <w:rPr>
      <w:rFonts w:ascii="Times New Roman" w:eastAsia="Times New Roman" w:hAnsi="Times New Roman" w:cs="Times New Roman"/>
      <w:b/>
      <w:bCs/>
      <w:sz w:val="20"/>
      <w:szCs w:val="28"/>
      <w:lang w:val="x-none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2A72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2A7298"/>
  </w:style>
  <w:style w:type="paragraph" w:styleId="a6">
    <w:name w:val="footer"/>
    <w:basedOn w:val="a"/>
    <w:link w:val="a7"/>
    <w:uiPriority w:val="99"/>
    <w:unhideWhenUsed/>
    <w:rsid w:val="002A72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2A7298"/>
  </w:style>
  <w:style w:type="table" w:styleId="a8">
    <w:name w:val="Table Grid"/>
    <w:basedOn w:val="a1"/>
    <w:uiPriority w:val="59"/>
    <w:rsid w:val="002A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06D67"/>
    <w:pPr>
      <w:bidi w:val="0"/>
      <w:ind w:left="720"/>
      <w:contextualSpacing/>
    </w:pPr>
  </w:style>
  <w:style w:type="paragraph" w:customStyle="1" w:styleId="11">
    <w:name w:val="פיסקת רשימה1"/>
    <w:basedOn w:val="a"/>
    <w:rsid w:val="00606D67"/>
    <w:pPr>
      <w:bidi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BA25AD"/>
    <w:rPr>
      <w:rFonts w:cs="Times New Roman"/>
      <w:sz w:val="20"/>
      <w:szCs w:val="20"/>
      <w:lang w:val="x-none" w:eastAsia="x-none"/>
    </w:rPr>
  </w:style>
  <w:style w:type="character" w:customStyle="1" w:styleId="ab">
    <w:name w:val="טקסט הערת שוליים תו"/>
    <w:basedOn w:val="a0"/>
    <w:link w:val="aa"/>
    <w:uiPriority w:val="99"/>
    <w:semiHidden/>
    <w:rsid w:val="00BA25A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semiHidden/>
    <w:unhideWhenUsed/>
    <w:rsid w:val="00BA25AD"/>
    <w:rPr>
      <w:vertAlign w:val="superscript"/>
    </w:rPr>
  </w:style>
  <w:style w:type="character" w:customStyle="1" w:styleId="10">
    <w:name w:val="כותרת 1 תו"/>
    <w:basedOn w:val="a0"/>
    <w:link w:val="1"/>
    <w:rsid w:val="00BA25AD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30">
    <w:name w:val="כותרת 3 תו"/>
    <w:basedOn w:val="a0"/>
    <w:link w:val="3"/>
    <w:rsid w:val="00BA25AD"/>
    <w:rPr>
      <w:rFonts w:ascii="Times New Roman" w:eastAsia="Times New Roman" w:hAnsi="Times New Roman" w:cs="Times New Roman"/>
      <w:b/>
      <w:bCs/>
      <w:sz w:val="20"/>
      <w:szCs w:val="28"/>
      <w:lang w:val="x-none" w:eastAsia="x-none"/>
    </w:rPr>
  </w:style>
  <w:style w:type="character" w:styleId="Hyperlink">
    <w:name w:val="Hyperlink"/>
    <w:basedOn w:val="a0"/>
    <w:uiPriority w:val="99"/>
    <w:unhideWhenUsed/>
    <w:rsid w:val="007E4BEA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7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uiPriority w:val="99"/>
    <w:semiHidden/>
    <w:rsid w:val="00C76496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9B70E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70E9"/>
    <w:pPr>
      <w:spacing w:line="240" w:lineRule="auto"/>
    </w:pPr>
    <w:rPr>
      <w:sz w:val="20"/>
      <w:szCs w:val="20"/>
    </w:rPr>
  </w:style>
  <w:style w:type="character" w:customStyle="1" w:styleId="af1">
    <w:name w:val="טקסט הערה תו"/>
    <w:basedOn w:val="a0"/>
    <w:link w:val="af0"/>
    <w:uiPriority w:val="99"/>
    <w:semiHidden/>
    <w:rsid w:val="009B70E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70E9"/>
    <w:rPr>
      <w:b/>
      <w:bCs/>
    </w:rPr>
  </w:style>
  <w:style w:type="character" w:customStyle="1" w:styleId="af3">
    <w:name w:val="נושא הערה תו"/>
    <w:basedOn w:val="af1"/>
    <w:link w:val="af2"/>
    <w:uiPriority w:val="99"/>
    <w:semiHidden/>
    <w:rsid w:val="009B70E9"/>
    <w:rPr>
      <w:b/>
      <w:bCs/>
      <w:sz w:val="20"/>
      <w:szCs w:val="20"/>
    </w:rPr>
  </w:style>
  <w:style w:type="paragraph" w:styleId="NormalWeb">
    <w:name w:val="Normal (Web)"/>
    <w:basedOn w:val="a"/>
    <w:uiPriority w:val="99"/>
    <w:unhideWhenUsed/>
    <w:rsid w:val="004D0DF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he-IL"/>
      </w:rPr>
    </w:rPrDefault>
    <w:pPrDefault>
      <w:pPr>
        <w:widowControl w:val="0"/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25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BA25AD"/>
    <w:pPr>
      <w:keepNext/>
      <w:spacing w:after="0" w:line="480" w:lineRule="auto"/>
      <w:outlineLvl w:val="2"/>
    </w:pPr>
    <w:rPr>
      <w:rFonts w:ascii="Times New Roman" w:eastAsia="Times New Roman" w:hAnsi="Times New Roman" w:cs="Times New Roman"/>
      <w:b/>
      <w:bCs/>
      <w:sz w:val="20"/>
      <w:szCs w:val="28"/>
      <w:lang w:val="x-none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2A72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2A7298"/>
  </w:style>
  <w:style w:type="paragraph" w:styleId="a6">
    <w:name w:val="footer"/>
    <w:basedOn w:val="a"/>
    <w:link w:val="a7"/>
    <w:uiPriority w:val="99"/>
    <w:unhideWhenUsed/>
    <w:rsid w:val="002A72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2A7298"/>
  </w:style>
  <w:style w:type="table" w:styleId="a8">
    <w:name w:val="Table Grid"/>
    <w:basedOn w:val="a1"/>
    <w:uiPriority w:val="59"/>
    <w:rsid w:val="002A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06D67"/>
    <w:pPr>
      <w:bidi w:val="0"/>
      <w:ind w:left="720"/>
      <w:contextualSpacing/>
    </w:pPr>
  </w:style>
  <w:style w:type="paragraph" w:customStyle="1" w:styleId="11">
    <w:name w:val="פיסקת רשימה1"/>
    <w:basedOn w:val="a"/>
    <w:rsid w:val="00606D67"/>
    <w:pPr>
      <w:bidi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BA25AD"/>
    <w:rPr>
      <w:rFonts w:cs="Times New Roman"/>
      <w:sz w:val="20"/>
      <w:szCs w:val="20"/>
      <w:lang w:val="x-none" w:eastAsia="x-none"/>
    </w:rPr>
  </w:style>
  <w:style w:type="character" w:customStyle="1" w:styleId="ab">
    <w:name w:val="טקסט הערת שוליים תו"/>
    <w:basedOn w:val="a0"/>
    <w:link w:val="aa"/>
    <w:uiPriority w:val="99"/>
    <w:semiHidden/>
    <w:rsid w:val="00BA25A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semiHidden/>
    <w:unhideWhenUsed/>
    <w:rsid w:val="00BA25AD"/>
    <w:rPr>
      <w:vertAlign w:val="superscript"/>
    </w:rPr>
  </w:style>
  <w:style w:type="character" w:customStyle="1" w:styleId="10">
    <w:name w:val="כותרת 1 תו"/>
    <w:basedOn w:val="a0"/>
    <w:link w:val="1"/>
    <w:rsid w:val="00BA25AD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30">
    <w:name w:val="כותרת 3 תו"/>
    <w:basedOn w:val="a0"/>
    <w:link w:val="3"/>
    <w:rsid w:val="00BA25AD"/>
    <w:rPr>
      <w:rFonts w:ascii="Times New Roman" w:eastAsia="Times New Roman" w:hAnsi="Times New Roman" w:cs="Times New Roman"/>
      <w:b/>
      <w:bCs/>
      <w:sz w:val="20"/>
      <w:szCs w:val="28"/>
      <w:lang w:val="x-none" w:eastAsia="x-none"/>
    </w:rPr>
  </w:style>
  <w:style w:type="character" w:styleId="Hyperlink">
    <w:name w:val="Hyperlink"/>
    <w:basedOn w:val="a0"/>
    <w:uiPriority w:val="99"/>
    <w:unhideWhenUsed/>
    <w:rsid w:val="007E4BEA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76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uiPriority w:val="99"/>
    <w:semiHidden/>
    <w:rsid w:val="00C76496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9B70E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70E9"/>
    <w:pPr>
      <w:spacing w:line="240" w:lineRule="auto"/>
    </w:pPr>
    <w:rPr>
      <w:sz w:val="20"/>
      <w:szCs w:val="20"/>
    </w:rPr>
  </w:style>
  <w:style w:type="character" w:customStyle="1" w:styleId="af1">
    <w:name w:val="טקסט הערה תו"/>
    <w:basedOn w:val="a0"/>
    <w:link w:val="af0"/>
    <w:uiPriority w:val="99"/>
    <w:semiHidden/>
    <w:rsid w:val="009B70E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70E9"/>
    <w:rPr>
      <w:b/>
      <w:bCs/>
    </w:rPr>
  </w:style>
  <w:style w:type="character" w:customStyle="1" w:styleId="af3">
    <w:name w:val="נושא הערה תו"/>
    <w:basedOn w:val="af1"/>
    <w:link w:val="af2"/>
    <w:uiPriority w:val="99"/>
    <w:semiHidden/>
    <w:rsid w:val="009B70E9"/>
    <w:rPr>
      <w:b/>
      <w:bCs/>
      <w:sz w:val="20"/>
      <w:szCs w:val="20"/>
    </w:rPr>
  </w:style>
  <w:style w:type="paragraph" w:styleId="NormalWeb">
    <w:name w:val="Normal (Web)"/>
    <w:basedOn w:val="a"/>
    <w:uiPriority w:val="99"/>
    <w:unhideWhenUsed/>
    <w:rsid w:val="004D0DF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Itai</cp:lastModifiedBy>
  <cp:revision>2</cp:revision>
  <dcterms:created xsi:type="dcterms:W3CDTF">2017-08-03T14:16:00Z</dcterms:created>
  <dcterms:modified xsi:type="dcterms:W3CDTF">2017-08-03T14:21:00Z</dcterms:modified>
</cp:coreProperties>
</file>